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2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28790"/>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LEIBOWITZ REUBEN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4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225 W. WASHINGTON STREET</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46204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4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SIMON PROPERTY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SPG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14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67"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ind w:left="4"/>
              <w:spacing w:after="0"/>
              <w:rPr>
                <w:sz w:val="20"/>
                <w:szCs w:val="20"/>
                <w:color w:val="auto"/>
              </w:rPr>
            </w:pPr>
            <w:r>
              <w:rPr>
                <w:rFonts w:ascii="Arial" w:cs="Arial" w:eastAsia="Arial" w:hAnsi="Arial"/>
                <w:sz w:val="12"/>
                <w:szCs w:val="12"/>
                <w:b w:val="1"/>
                <w:bCs w:val="1"/>
                <w:color w:val="auto"/>
                <w:w w:val="99"/>
              </w:rPr>
              <w:t>(A) or</w:t>
            </w:r>
          </w:p>
        </w:tc>
        <w:tc>
          <w:tcPr>
            <w:tcW w:w="8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rPr>
              <w:t>430</w:t>
            </w:r>
          </w:p>
        </w:tc>
        <w:tc>
          <w:tcPr>
            <w:tcW w:w="560" w:type="dxa"/>
            <w:vAlign w:val="bottom"/>
            <w:tcBorders>
              <w:bottom w:val="single" w:sz="8" w:color="2C2C2C"/>
            </w:tcBorders>
          </w:tcPr>
          <w:p>
            <w:pPr>
              <w:jc w:val="center"/>
              <w:ind w:left="24"/>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223.14</w:t>
            </w:r>
            <w:r>
              <w:rPr>
                <w:rFonts w:ascii="Times New Roman" w:cs="Times New Roman" w:eastAsia="Times New Roman" w:hAnsi="Times New Roman"/>
                <w:sz w:val="22"/>
                <w:szCs w:val="22"/>
                <w:color w:val="008000"/>
                <w:w w:val="95"/>
                <w:vertAlign w:val="superscript"/>
              </w:rPr>
              <w:t>(1)</w:t>
            </w:r>
          </w:p>
        </w:tc>
        <w:tc>
          <w:tcPr>
            <w:tcW w:w="10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55,719</w:t>
            </w:r>
          </w:p>
        </w:tc>
        <w:tc>
          <w:tcPr>
            <w:tcW w:w="9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jc w:val="center"/>
              <w:ind w:left="467"/>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rPr>
              <w:t>53</w:t>
            </w:r>
          </w:p>
        </w:tc>
        <w:tc>
          <w:tcPr>
            <w:tcW w:w="560" w:type="dxa"/>
            <w:vAlign w:val="bottom"/>
          </w:tcPr>
          <w:p>
            <w:pPr>
              <w:jc w:val="center"/>
              <w:ind w:left="24"/>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225.03</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7"/>
                <w:szCs w:val="17"/>
                <w:color w:val="0000FF"/>
              </w:rPr>
              <w:t>55,772</w:t>
            </w:r>
          </w:p>
        </w:tc>
        <w:tc>
          <w:tcPr>
            <w:tcW w:w="98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jc w:val="center"/>
              <w:ind w:left="467"/>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rPr>
              <w:t>25</w:t>
            </w:r>
          </w:p>
        </w:tc>
        <w:tc>
          <w:tcPr>
            <w:tcW w:w="560" w:type="dxa"/>
            <w:vAlign w:val="bottom"/>
          </w:tcPr>
          <w:p>
            <w:pPr>
              <w:jc w:val="center"/>
              <w:ind w:left="24"/>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223.94</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7"/>
                <w:szCs w:val="17"/>
                <w:color w:val="0000FF"/>
              </w:rPr>
              <w:t>55,797</w:t>
            </w:r>
          </w:p>
        </w:tc>
        <w:tc>
          <w:tcPr>
            <w:tcW w:w="98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7"/>
                <w:szCs w:val="17"/>
                <w:color w:val="0000FF"/>
              </w:rPr>
              <w:t>2,500</w:t>
            </w:r>
          </w:p>
        </w:tc>
        <w:tc>
          <w:tcPr>
            <w:tcW w:w="98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jc w:val="center"/>
              <w:ind w:left="11"/>
              <w:spacing w:after="0" w:line="213" w:lineRule="exact"/>
              <w:rPr>
                <w:sz w:val="20"/>
                <w:szCs w:val="20"/>
                <w:color w:val="auto"/>
              </w:rPr>
            </w:pPr>
            <w:r>
              <w:rPr>
                <w:rFonts w:ascii="Times New Roman" w:cs="Times New Roman" w:eastAsia="Times New Roman" w:hAnsi="Times New Roman"/>
                <w:sz w:val="17"/>
                <w:szCs w:val="17"/>
                <w:color w:val="0000FF"/>
                <w:w w:val="93"/>
              </w:rPr>
              <w:t>10,500</w:t>
            </w:r>
            <w:r>
              <w:rPr>
                <w:rFonts w:ascii="Times New Roman" w:cs="Times New Roman" w:eastAsia="Times New Roman" w:hAnsi="Times New Roman"/>
                <w:sz w:val="22"/>
                <w:szCs w:val="22"/>
                <w:color w:val="008000"/>
                <w:w w:val="93"/>
                <w:vertAlign w:val="superscript"/>
              </w:rPr>
              <w:t>(2)</w:t>
            </w:r>
          </w:p>
        </w:tc>
        <w:tc>
          <w:tcPr>
            <w:tcW w:w="98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Leibowitz</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By</w:t>
      </w:r>
    </w:p>
    <w:p>
      <w:pPr>
        <w:spacing w:after="0" w:line="3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Maxsim</w:t>
      </w:r>
    </w:p>
    <w:p>
      <w:pPr>
        <w:ind w:left="80"/>
        <w:spacing w:after="0"/>
        <w:tabs>
          <w:tab w:leader="none" w:pos="8280" w:val="left"/>
          <w:tab w:leader="none" w:pos="9520" w:val="left"/>
          <w:tab w:leader="none" w:pos="1008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2,500</w:t>
      </w:r>
      <w:r>
        <w:rPr>
          <w:rFonts w:ascii="Times New Roman" w:cs="Times New Roman" w:eastAsia="Times New Roman" w:hAnsi="Times New Roman"/>
          <w:sz w:val="22"/>
          <w:szCs w:val="22"/>
          <w:color w:val="008000"/>
          <w:vertAlign w:val="superscript"/>
        </w:rPr>
        <w:t>(2)</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Charitable</w:t>
      </w:r>
    </w:p>
    <w:p>
      <w:pPr>
        <w:spacing w:after="0" w:line="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Remainder</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32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1,400</w:t>
            </w:r>
            <w:r>
              <w:rPr>
                <w:rFonts w:ascii="Times New Roman" w:cs="Times New Roman" w:eastAsia="Times New Roman" w:hAnsi="Times New Roman"/>
                <w:sz w:val="22"/>
                <w:szCs w:val="22"/>
                <w:color w:val="008000"/>
                <w:vertAlign w:val="superscript"/>
              </w:rPr>
              <w:t>(2)</w:t>
            </w:r>
          </w:p>
        </w:tc>
        <w:tc>
          <w:tcPr>
            <w:tcW w:w="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4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By trusts</w:t>
            </w: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960" w:type="dxa"/>
            <w:vAlign w:val="bottom"/>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acquired through the reinvestment of dividends received on restricted stock awarded to the Reporting Person as non-cash compensation under the Simon Property Group, L.P. 2019 Stock Incentive Plan.</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the inclusion of these shares in the report shall not be deemed an admission of beneficial ownership of the reported shares for purposes of Section 16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Reuben S. Leibowitz by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his attorney-in-fact, Steven E.  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Fivel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7"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982" TargetMode="External"/><Relationship Id="rId14" Type="http://schemas.openxmlformats.org/officeDocument/2006/relationships/hyperlink" Target="http://www.sec.gov/cgi-bin/browse-edgar?action=getcompany&amp;CIK=00010637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2026-07-01T13:12:35Z</dcterms:created>
  <dcterms:modified xsi:type="dcterms:W3CDTF">2026-07-01T13:12:35Z</dcterms:modified>
</cp:coreProperties>
</file>